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Default="006F5EA0" w:rsidP="006F5EA0">
      <w:pPr>
        <w:spacing w:after="0" w:line="480" w:lineRule="auto"/>
        <w:rPr>
          <w:rFonts w:ascii="Times New Roman" w:hAnsi="Times New Roman" w:cs="Times New Roman"/>
          <w:b/>
          <w:bCs/>
          <w:sz w:val="24"/>
          <w:szCs w:val="24"/>
        </w:rPr>
      </w:pPr>
    </w:p>
    <w:p w:rsidR="006F5EA0" w:rsidRP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t>Nursing Theory Comparison</w:t>
      </w:r>
    </w:p>
    <w:p w:rsidR="006F5EA0" w:rsidRDefault="006F5EA0" w:rsidP="006F5EA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6F5EA0" w:rsidRDefault="006F5EA0" w:rsidP="006F5EA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6F5EA0" w:rsidRDefault="006F5EA0" w:rsidP="006F5EA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6F5EA0" w:rsidRDefault="006F5EA0" w:rsidP="006F5EA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Professor’s Name </w:t>
      </w:r>
      <w:r>
        <w:rPr>
          <w:rFonts w:ascii="Times New Roman" w:hAnsi="Times New Roman" w:cs="Times New Roman"/>
          <w:sz w:val="24"/>
          <w:szCs w:val="24"/>
        </w:rPr>
        <w:br/>
        <w:t>Date</w:t>
      </w:r>
    </w:p>
    <w:p w:rsidR="006F5EA0" w:rsidRDefault="006F5EA0" w:rsidP="006F5EA0">
      <w:pPr>
        <w:spacing w:after="0" w:line="480" w:lineRule="auto"/>
        <w:rPr>
          <w:rFonts w:ascii="Times New Roman" w:hAnsi="Times New Roman" w:cs="Times New Roman"/>
          <w:sz w:val="24"/>
          <w:szCs w:val="24"/>
        </w:rPr>
      </w:pPr>
    </w:p>
    <w:p w:rsidR="006F5EA0" w:rsidRDefault="006F5EA0" w:rsidP="006F5EA0">
      <w:pPr>
        <w:spacing w:after="0" w:line="480" w:lineRule="auto"/>
        <w:rPr>
          <w:rFonts w:ascii="Times New Roman" w:hAnsi="Times New Roman" w:cs="Times New Roman"/>
          <w:sz w:val="24"/>
          <w:szCs w:val="24"/>
        </w:rPr>
      </w:pPr>
    </w:p>
    <w:p w:rsidR="006F5EA0" w:rsidRDefault="006F5EA0" w:rsidP="006F5EA0">
      <w:pPr>
        <w:spacing w:after="0" w:line="480" w:lineRule="auto"/>
        <w:rPr>
          <w:rFonts w:ascii="Times New Roman" w:hAnsi="Times New Roman" w:cs="Times New Roman"/>
          <w:sz w:val="24"/>
          <w:szCs w:val="24"/>
        </w:rPr>
      </w:pPr>
    </w:p>
    <w:p w:rsidR="006F5EA0" w:rsidRDefault="006F5EA0" w:rsidP="006F5EA0">
      <w:pPr>
        <w:spacing w:after="0" w:line="480" w:lineRule="auto"/>
        <w:rPr>
          <w:rFonts w:ascii="Times New Roman" w:hAnsi="Times New Roman" w:cs="Times New Roman"/>
          <w:sz w:val="24"/>
          <w:szCs w:val="24"/>
        </w:rPr>
      </w:pPr>
    </w:p>
    <w:p w:rsidR="006F5EA0" w:rsidRDefault="006F5EA0" w:rsidP="006F5EA0">
      <w:pPr>
        <w:spacing w:after="0" w:line="480" w:lineRule="auto"/>
        <w:rPr>
          <w:rFonts w:ascii="Times New Roman" w:hAnsi="Times New Roman" w:cs="Times New Roman"/>
          <w:sz w:val="24"/>
          <w:szCs w:val="24"/>
        </w:rPr>
      </w:pPr>
    </w:p>
    <w:p w:rsidR="006F5EA0" w:rsidRPr="006F5EA0" w:rsidRDefault="006F5EA0" w:rsidP="006F5EA0">
      <w:pPr>
        <w:spacing w:after="0" w:line="480" w:lineRule="auto"/>
        <w:rPr>
          <w:rFonts w:ascii="Times New Roman" w:hAnsi="Times New Roman" w:cs="Times New Roman"/>
          <w:sz w:val="24"/>
          <w:szCs w:val="24"/>
        </w:rPr>
      </w:pPr>
    </w:p>
    <w:p w:rsid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lastRenderedPageBreak/>
        <w:t>Nursing Theory Comparison</w:t>
      </w:r>
    </w:p>
    <w:p w:rsidR="006F5EA0" w:rsidRPr="006F5EA0" w:rsidRDefault="006F5EA0" w:rsidP="006F5EA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Nurses are an important part of the care system as they ensure that patients receive the best quality and satisfactory care services. They are more important in the treatment of patients with chronic conditions because they (patients) require continuous care. As depicted and advocated by both Orem’s nursing theory and Betty Neuman’s model of nursing, nurses play a critical role in improving the patient’s care standards and their quality of life. With the growing trend of chronic conditions today, which requires transplant surgery operations and post-surgery care, nurses have become invaluable resources to the healthcare system. This essay examines the application of both Orem’s nursing theory and Betty Neuman’s model of nursing in taking care of patients who have gone through an autologous bone marrow transplant.</w:t>
      </w:r>
    </w:p>
    <w:p w:rsidR="006F5EA0" w:rsidRP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t>Background of Theories</w:t>
      </w:r>
    </w:p>
    <w:p w:rsidR="006F5EA0" w:rsidRPr="006F5EA0" w:rsidRDefault="006F5EA0" w:rsidP="006F5EA0">
      <w:pPr>
        <w:spacing w:after="0" w:line="480" w:lineRule="auto"/>
        <w:rPr>
          <w:rFonts w:ascii="Times New Roman" w:hAnsi="Times New Roman" w:cs="Times New Roman"/>
          <w:b/>
          <w:bCs/>
          <w:sz w:val="24"/>
          <w:szCs w:val="24"/>
        </w:rPr>
      </w:pPr>
      <w:r w:rsidRPr="006F5EA0">
        <w:rPr>
          <w:rFonts w:ascii="Times New Roman" w:hAnsi="Times New Roman" w:cs="Times New Roman"/>
          <w:b/>
          <w:bCs/>
          <w:sz w:val="24"/>
          <w:szCs w:val="24"/>
        </w:rPr>
        <w:t>Orem’s Self-Care Model</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Dorothea Orem developed Orem’s self-care model in nursing in the late 1950s. Orem’s interest in nursing theory when she worked at the Department of Health, Education, and Welfare in Washington, D.C (McEwen &amp; Wills, 2017). While working at Catholic University as a faculty member, she and her colleagues were charged with the responsibility of developing a curriculum for practical nursing for the Department of Health, Education, and Welfare. Here, she worked until she wrote her first book on nursing theory in 1971 and continues to develop her work years later.</w:t>
      </w:r>
    </w:p>
    <w:p w:rsidR="006F5EA0" w:rsidRPr="006F5EA0" w:rsidRDefault="006F5EA0" w:rsidP="006F5EA0">
      <w:pPr>
        <w:spacing w:after="0" w:line="480" w:lineRule="auto"/>
        <w:rPr>
          <w:rFonts w:ascii="Times New Roman" w:hAnsi="Times New Roman" w:cs="Times New Roman"/>
          <w:b/>
          <w:bCs/>
          <w:sz w:val="24"/>
          <w:szCs w:val="24"/>
        </w:rPr>
      </w:pPr>
      <w:r w:rsidRPr="006F5EA0">
        <w:rPr>
          <w:rFonts w:ascii="Times New Roman" w:hAnsi="Times New Roman" w:cs="Times New Roman"/>
          <w:b/>
          <w:bCs/>
          <w:sz w:val="24"/>
          <w:szCs w:val="24"/>
        </w:rPr>
        <w:t>Betty Neuman’s Model</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 xml:space="preserve">Betty Neuman developed her Neuman Systems Model in the 1960s. Her contributions in the field of nursing were exceptional, especially in the area of community mental health. Her </w:t>
      </w:r>
      <w:r w:rsidRPr="006F5EA0">
        <w:rPr>
          <w:rFonts w:ascii="Times New Roman" w:hAnsi="Times New Roman" w:cs="Times New Roman"/>
          <w:sz w:val="24"/>
          <w:szCs w:val="24"/>
        </w:rPr>
        <w:lastRenderedPageBreak/>
        <w:t>insightful view on how to care for mental health problems in her theory has helped to improve nursing theories over the years as McEwen and Wills (2017) explain that Neuman’s model has been extensively used in nursing colleges and schools over the years, both at the national and international levels. Her nursing theory emerged in the 1960s after she completed her Masters’ Degree in mental health and public health consultation from UCLA and later a doctorate in 1985. With experiences, she had acquired over the years while working as a nurse, head nurse, industrial nurse, consultant, and later nurse instructor at the University of Southern California Medical Center, Los Angeles, Neuman designed a nursing theory that sought to help nurses identify the patient problems.</w:t>
      </w:r>
    </w:p>
    <w:p w:rsidR="006F5EA0" w:rsidRP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t>Philosophical Underpinnings</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Orem’s self-care model was based on a person as an agent. According to McEwen and Wills (2017), Orem expressed interest in theories that provided the basis of her theory, including von Bertalanffy’s System theory and Parson’s Structure of Social Action theory. She, however, refuted the idea of self-care deficit nursing theory, asserting that it is a school of moderate realism and its focus is on a person as an agent.</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Betty Neuman’s model, on the other hand, was based on the concepts and theoretical disciplines. She was influenced by Chardin and Cornu, which she referred to in most of her works. Chardin and Cornu’s wholeness influenced her in systems (McEwen &amp; Wills, 2017). Like Orem’s model, Neuman’s model was also influenced by von Bertalanffy and Lazlo’s concepts on general systems theory. Other philosophical influences included Seyle’s stress theory and Lazarus’s stress and coping theory.</w:t>
      </w:r>
    </w:p>
    <w:p w:rsidR="006F5EA0" w:rsidRP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t>Major Assumptions, Concepts, and Relationships</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lastRenderedPageBreak/>
        <w:t>Orem’s model identified her theory in three components; theories of self-care, self-care deficit, and nursing systems. While the theory of the nursing systems is the outer component, the other two are a critical part of the whole. She identified the theory of self-care as a component of self-care deficit theory (McEwen &amp; Wills, 2017). The concept of Neuman’s model is that nursing is an art through which nurses provide specialized help to people with disabilities. This, according to Neuma, makes the assistance offered by nurse practitioners more than ordinary because it is designed to meet the needs for self-care of patients. This theory defines humans are “men, women, and children cared for either” either as individuals or a unit (McEwen &amp; Wills, 2017, p. 151).</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According to Orem’s self-care theory, self-care is a human regulatory function that is organized and carried out deliberately to ensure that the supply of required materials for continued life, growth, and development are achieved (p. 151). In terms of relationships, this theory asserts that people are involved in continuous communication and interchange with each other and their environment to help them remain alive and functional (McEwen &amp; Wills, 2017). This theory further asserts that different groups of human beings have structured relationships cluster tasks that identify and allocate the responsibilities for the provision of care to members who experience privations.</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 xml:space="preserve">On the other hand, Neuman’s model concepts are connected with the development of metaparadigm concepts. Unlike Orem, Neuman identified human beings as “client system” that comprises of five elements or interacting variable areas (McEwen &amp; Wills, 2017, p. 157). These five elements include physiological, psychological, sociocultural, developmental, and spiritual areas. The theory further equated health with optimal system stability that can be the “best possible wellness state at any given time” (McEwen &amp; Wills, 2017, p, 157). As part of the </w:t>
      </w:r>
      <w:r w:rsidRPr="006F5EA0">
        <w:rPr>
          <w:rFonts w:ascii="Times New Roman" w:hAnsi="Times New Roman" w:cs="Times New Roman"/>
          <w:sz w:val="24"/>
          <w:szCs w:val="24"/>
        </w:rPr>
        <w:lastRenderedPageBreak/>
        <w:t>nursing component, her primary concern was that nurses should strive to maintain client’s system stability through accurate assessment of the environmental stressors and other stressors while helping the clients adjust to maintain the optimal levels of their wellness (McEwen &amp; Wills, 2017)).</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Among the concepts in her theory include the basic structure, which she described as the basic survival factors common to every human being, the boundary lines, which are the flexible line of defense in the client’s system, and feedback which is the process for providing corrective action to change with the aim of improving or stabilizing the system (McEwen &amp; Wills, 2017). In terms of relationships, this theory identified and emphasized the five interacting variable areas, arguing that they function to maintain, attain, and retain the client’s system stability. As McEwen and Wills (2017) further explain, this model is based on the client’s reaction to stress as it seeks to maintain the boundaries that protect the client’s stability.</w:t>
      </w:r>
    </w:p>
    <w:p w:rsidR="006F5EA0" w:rsidRP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t>Clinical Applications/Usefulness</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Orem’s theory has been applied in hospitals with ambulatory care settings, especially those around the schools where Orem worked, including Illinois Wesleyan University and the University of Tennessee. This model has been applied in taking care of patients with arthritis or gastrointestinal and renal diseases. The theory has mainly been applied to other areas are community nursing, critical care, cultural concepts, medical-surgical nursing, pediatric nursing, perioperative nursing, and renal dialysis (McEwen &amp; Wills, 2017). Over the years, the theory has advanced to international nursing, and other countries such as Japan, Great Britain, Netherlands, New Zealand, and Germany have also adopted the concepts of Orem’s nursing model.</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 xml:space="preserve">Orem's model has also been used as a testability model or a source of testable hypotheses by researchers. Many studies have tested the elements of this model, including studying people </w:t>
      </w:r>
      <w:r w:rsidRPr="006F5EA0">
        <w:rPr>
          <w:rFonts w:ascii="Times New Roman" w:hAnsi="Times New Roman" w:cs="Times New Roman"/>
          <w:sz w:val="24"/>
          <w:szCs w:val="24"/>
        </w:rPr>
        <w:lastRenderedPageBreak/>
        <w:t>with diminished self-care agency. As McEwen and Wills (2017) explain, most of the research studies involving this theory are descriptive in nature. However, the theory has not been involved in testing wholesomely.</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Like Orem's model, Neuman's model has been equally useful in advancing care quality and improving the wellness of patients with different conditions. According to McEwen and Wills (2017), this model has been extensively applied in nursing education and nursing practice. It is currently applied in the United States and other countries worldwide, including Netherlands and Taiwan. This theory has been a guide to nursing practice in these countries where it is used. As McEwen and Wills (2017) further explain, the applicability of this theory has been focused on the management of patient care in different clinical settings, including medicine, surgery, mental health, women's health, gerontology.</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The testability of this theory, like Orem's theory, has not been implemented in its entirety. However, some researchers have used it as a conceptual framework in nursing studies. As such, the theory has been empirically tested.</w:t>
      </w:r>
    </w:p>
    <w:p w:rsidR="006F5EA0" w:rsidRP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t>Comparison of the Use of Theories</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 xml:space="preserve">Both theories can be used to improve patient outcome and wellness in autologous bone marrow transplantation (ABMT). As Mack (1992) explains, this theory can be used to assess the ABMT patients and determine the goal of recognizing the possibility of complications that may arise. According to Jackson (1990), a proper preoperative assessment tool needs to be developed for surgical patients to determine if the patient's location on the health-illness continuum. This can be done by collecting and analyzing data about the patient's biopsychosocial needs as well as evaluate the information to determine the problems that the patient may experience. This information is useful in helping to design an intervention for the patients. Dorothea Orem's </w:t>
      </w:r>
      <w:r w:rsidRPr="006F5EA0">
        <w:rPr>
          <w:rFonts w:ascii="Times New Roman" w:hAnsi="Times New Roman" w:cs="Times New Roman"/>
          <w:sz w:val="24"/>
          <w:szCs w:val="24"/>
        </w:rPr>
        <w:lastRenderedPageBreak/>
        <w:t>model, therefore, becomes a useful tool that can be used to assess the preoperative procedure guidelines and risks assessments to determine the major risks, including organ toxicities. Common side effects of the ABMT procedure include mucositis, pneumonitis, renal failure, and venous-occlusive disease of the liver (Mack, 1992). This model is useful in determining any possibility of developing complications earlier to provide interventions.</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 xml:space="preserve">Based on Betty Neuman's model's assumption that every patient is a unique composite of factors within a system and different unknown stressors exist, nurses can take care of their patients well when they understand the potential risk factors that may contribute to harm during and after operations. This theory, like Orem's model, can be applied to ABMT patients because it relates to the comfort needs of patients in all settings. According to Wilson and Kolcaba (2004), holistic comfort is the desirable outcome of nursing care in a perianesthesia setting. ABMT patients require the comfort that they can get after going the operations. Chemotherapy can be exhausting, but more specifically, autologous transplantation can also be overwhelming. As such, nurses who care for ABMT patients need to understand the potential risks of discomforts, including pain, nausea, anxiety, and hypothermia after transplantation (Wilson &amp;Kolcaba, 2004). Neuman's model provides a way for nurses to assess and determine an interventional strategy to help their patients. Based on its assumption that every patient has evolved a normal range of responses to their environment, which she described as the normal line of defense, nurse practitioners can use this as a standard by which they measure the patient's health deviation. As Ahmadi and Sadeghi (2017) explain, Neuman's model looks at the environment as both internal and external forces surrounding the client and has the potential to influence their health at any point in time. Therefore, nurse practitioners should be concerned with the whole person as a </w:t>
      </w:r>
      <w:r w:rsidRPr="006F5EA0">
        <w:rPr>
          <w:rFonts w:ascii="Times New Roman" w:hAnsi="Times New Roman" w:cs="Times New Roman"/>
          <w:sz w:val="24"/>
          <w:szCs w:val="24"/>
        </w:rPr>
        <w:lastRenderedPageBreak/>
        <w:t>system and determine any internal and external factors that may cause them discomfort and try to address them.</w:t>
      </w:r>
    </w:p>
    <w:p w:rsidR="006F5EA0" w:rsidRP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t>Examples of Theory Application</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b/>
          <w:bCs/>
          <w:sz w:val="24"/>
          <w:szCs w:val="24"/>
        </w:rPr>
        <w:t>Orem's theory:</w:t>
      </w:r>
      <w:r w:rsidRPr="006F5EA0">
        <w:rPr>
          <w:rFonts w:ascii="Times New Roman" w:hAnsi="Times New Roman" w:cs="Times New Roman"/>
          <w:sz w:val="24"/>
          <w:szCs w:val="24"/>
        </w:rPr>
        <w:t xml:space="preserve"> This theory is applicable in an ambulatory surgery setting. Nurses help their clients by acting for them, teaching and guiding them, supporting and providing them with a developmental environment. The role of a nurse in this theory ranges from performing total care services to educating the patients and their families.</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b/>
          <w:bCs/>
          <w:sz w:val="24"/>
          <w:szCs w:val="24"/>
        </w:rPr>
        <w:t>Neuman's Model:</w:t>
      </w:r>
      <w:r w:rsidRPr="006F5EA0">
        <w:rPr>
          <w:rFonts w:ascii="Times New Roman" w:hAnsi="Times New Roman" w:cs="Times New Roman"/>
          <w:sz w:val="24"/>
          <w:szCs w:val="24"/>
        </w:rPr>
        <w:t xml:space="preserve"> In this theory, nursing practitioners can apply the concepts by assessing the patient. This involves looking at the actual and potential stressors or conditions that affect the patient's wellness. It also involves identifying the potential life processes and coping mechanisms that can help patients determine optimal wellness.</w:t>
      </w:r>
    </w:p>
    <w:p w:rsidR="006F5EA0" w:rsidRP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t>Parsimony of Theories</w:t>
      </w:r>
    </w:p>
    <w:p w:rsidR="006F5EA0" w:rsidRPr="006F5EA0"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 xml:space="preserve">Orem's theory is complex, mainly because of the three components and many presuppositions about the theory. The complexity is further associated with different propositions that each of the three components suggests. Even though changes and revisions on this theory have brought about some improvements, but its complexity has continued to remain intact since its development. The first revision of the theory was done in 1971 (McEwen &amp; Wills, 2017). The complexity of this theory has increased over the years since its revision due to the changes in societal needs. Like Orem's theory, Neuman's theory is also complex. However, Neuman's model is complex due to its multiple functional ways. The description of this theory, as McEwen and Wills (2017) explain, can be confusing. As such, this theory cannot be considered to be parsimonious. Over the years, changes and revisions in this theory have tried to change the complexities. Theorists have tried to develop an intermediate program to help promote </w:t>
      </w:r>
      <w:r w:rsidRPr="006F5EA0">
        <w:rPr>
          <w:rFonts w:ascii="Times New Roman" w:hAnsi="Times New Roman" w:cs="Times New Roman"/>
          <w:sz w:val="24"/>
          <w:szCs w:val="24"/>
        </w:rPr>
        <w:lastRenderedPageBreak/>
        <w:t>understanding the complex aspects of this theory. These attempts have to include clarifying the interactions among the multiple parts of the theory to promote its use. This has resulted in an effective and better understanding of the assumptions of different versions of this theory.</w:t>
      </w:r>
    </w:p>
    <w:p w:rsidR="006F5EA0" w:rsidRPr="006F5EA0" w:rsidRDefault="006F5EA0" w:rsidP="006F5EA0">
      <w:pPr>
        <w:spacing w:after="0" w:line="480" w:lineRule="auto"/>
        <w:jc w:val="center"/>
        <w:rPr>
          <w:rFonts w:ascii="Times New Roman" w:hAnsi="Times New Roman" w:cs="Times New Roman"/>
          <w:b/>
          <w:bCs/>
          <w:sz w:val="24"/>
          <w:szCs w:val="24"/>
        </w:rPr>
      </w:pPr>
      <w:r w:rsidRPr="006F5EA0">
        <w:rPr>
          <w:rFonts w:ascii="Times New Roman" w:hAnsi="Times New Roman" w:cs="Times New Roman"/>
          <w:b/>
          <w:bCs/>
          <w:sz w:val="24"/>
          <w:szCs w:val="24"/>
        </w:rPr>
        <w:t>Conclusion</w:t>
      </w:r>
    </w:p>
    <w:p w:rsidR="0045214D" w:rsidRDefault="006F5EA0" w:rsidP="006F5EA0">
      <w:pPr>
        <w:spacing w:after="0" w:line="480" w:lineRule="auto"/>
        <w:ind w:firstLine="720"/>
        <w:rPr>
          <w:rFonts w:ascii="Times New Roman" w:hAnsi="Times New Roman" w:cs="Times New Roman"/>
          <w:sz w:val="24"/>
          <w:szCs w:val="24"/>
        </w:rPr>
      </w:pPr>
      <w:r w:rsidRPr="006F5EA0">
        <w:rPr>
          <w:rFonts w:ascii="Times New Roman" w:hAnsi="Times New Roman" w:cs="Times New Roman"/>
          <w:sz w:val="24"/>
          <w:szCs w:val="24"/>
        </w:rPr>
        <w:t>Nurses help in identifying potential risks that may inhibit the realization of optimal wellness. This requires understanding and early identification of these risks. This study has highlighted two nursing theories, Orem's model and Neuman's model, which explain how nursing practitioners can improve the quality-of-care services they offer and their quality of life. As discussed in this essay, these theories have different assumptions, but their goal is to improve the outcome of patient care. Through early disease management and potential risks, nurses can understand how to delay the progression of the risks while working on improving the patients' quality of life. Even though the theories have their shortcomings, including the multiple ways of interpreting them (Neuman's model) and multiple presumptions and prepositions emerging from them (Orem's model), they also have promoted and advanced nursing practice within the United States and across the world. As discussed in the paper, the clinical use of these models and theories has helped nursing students and practitioners develop and expand their nursing knowledge. Their application is an important step towards the realization and achievement of nursing goals.</w:t>
      </w:r>
    </w:p>
    <w:p w:rsidR="006F5EA0" w:rsidRDefault="006F5EA0" w:rsidP="006F5EA0">
      <w:pPr>
        <w:spacing w:after="0" w:line="480" w:lineRule="auto"/>
        <w:rPr>
          <w:rFonts w:ascii="Times New Roman" w:hAnsi="Times New Roman" w:cs="Times New Roman"/>
          <w:sz w:val="24"/>
          <w:szCs w:val="24"/>
        </w:rPr>
      </w:pPr>
    </w:p>
    <w:p w:rsidR="006F5EA0" w:rsidRDefault="006F5EA0" w:rsidP="006F5EA0">
      <w:pPr>
        <w:spacing w:after="0" w:line="480" w:lineRule="auto"/>
        <w:rPr>
          <w:rFonts w:ascii="Times New Roman" w:hAnsi="Times New Roman" w:cs="Times New Roman"/>
          <w:sz w:val="24"/>
          <w:szCs w:val="24"/>
        </w:rPr>
      </w:pPr>
    </w:p>
    <w:p w:rsidR="006F5EA0" w:rsidRDefault="006F5EA0" w:rsidP="006F5EA0">
      <w:pPr>
        <w:spacing w:after="0" w:line="480" w:lineRule="auto"/>
        <w:rPr>
          <w:rFonts w:ascii="Times New Roman" w:hAnsi="Times New Roman" w:cs="Times New Roman"/>
          <w:sz w:val="24"/>
          <w:szCs w:val="24"/>
        </w:rPr>
      </w:pPr>
    </w:p>
    <w:p w:rsidR="006F5EA0" w:rsidRDefault="006F5EA0" w:rsidP="006F5EA0">
      <w:pPr>
        <w:spacing w:after="0" w:line="480" w:lineRule="auto"/>
        <w:rPr>
          <w:rFonts w:ascii="Times New Roman" w:hAnsi="Times New Roman" w:cs="Times New Roman"/>
          <w:sz w:val="24"/>
          <w:szCs w:val="24"/>
        </w:rPr>
      </w:pPr>
    </w:p>
    <w:p w:rsidR="006F5EA0" w:rsidRDefault="006F5EA0" w:rsidP="006F5EA0">
      <w:pPr>
        <w:spacing w:after="0" w:line="480" w:lineRule="auto"/>
        <w:rPr>
          <w:rFonts w:ascii="Times New Roman" w:hAnsi="Times New Roman" w:cs="Times New Roman"/>
          <w:sz w:val="24"/>
          <w:szCs w:val="24"/>
        </w:rPr>
      </w:pPr>
    </w:p>
    <w:p w:rsidR="006F5EA0" w:rsidRPr="006F5EA0" w:rsidRDefault="006F5EA0" w:rsidP="006F5EA0">
      <w:pPr>
        <w:spacing w:after="0" w:line="480" w:lineRule="auto"/>
        <w:ind w:left="720" w:hanging="720"/>
        <w:jc w:val="center"/>
        <w:rPr>
          <w:rFonts w:ascii="Times New Roman" w:hAnsi="Times New Roman" w:cs="Times New Roman"/>
          <w:sz w:val="24"/>
          <w:szCs w:val="24"/>
        </w:rPr>
      </w:pPr>
      <w:r w:rsidRPr="006F5EA0">
        <w:rPr>
          <w:rFonts w:ascii="Times New Roman" w:hAnsi="Times New Roman" w:cs="Times New Roman"/>
          <w:sz w:val="24"/>
          <w:szCs w:val="24"/>
        </w:rPr>
        <w:lastRenderedPageBreak/>
        <w:t>References</w:t>
      </w:r>
    </w:p>
    <w:p w:rsidR="006F5EA0" w:rsidRPr="006F5EA0" w:rsidRDefault="006F5EA0" w:rsidP="006F5EA0">
      <w:pPr>
        <w:spacing w:after="0" w:line="480" w:lineRule="auto"/>
        <w:ind w:left="720" w:hanging="720"/>
        <w:rPr>
          <w:rFonts w:ascii="Times New Roman" w:hAnsi="Times New Roman" w:cs="Times New Roman"/>
          <w:color w:val="222222"/>
          <w:sz w:val="24"/>
          <w:szCs w:val="24"/>
          <w:shd w:val="clear" w:color="auto" w:fill="FFFFFF"/>
        </w:rPr>
      </w:pPr>
      <w:r w:rsidRPr="006F5EA0">
        <w:rPr>
          <w:rFonts w:ascii="Times New Roman" w:hAnsi="Times New Roman" w:cs="Times New Roman"/>
          <w:color w:val="222222"/>
          <w:sz w:val="24"/>
          <w:szCs w:val="24"/>
          <w:shd w:val="clear" w:color="auto" w:fill="FFFFFF"/>
        </w:rPr>
        <w:t>Ahmadi, Z., &amp; Sadeghi, T. (2017). Application of the Betty Neuman systems model in the nursing care of patients/clients with multiple sclerosis. </w:t>
      </w:r>
      <w:r w:rsidRPr="006F5EA0">
        <w:rPr>
          <w:rFonts w:ascii="Times New Roman" w:hAnsi="Times New Roman" w:cs="Times New Roman"/>
          <w:i/>
          <w:iCs/>
          <w:color w:val="222222"/>
          <w:sz w:val="24"/>
          <w:szCs w:val="24"/>
          <w:shd w:val="clear" w:color="auto" w:fill="FFFFFF"/>
        </w:rPr>
        <w:t>Multiple Sclerosis Journal–Experimental, Translational and Clinical</w:t>
      </w:r>
      <w:r w:rsidRPr="006F5EA0">
        <w:rPr>
          <w:rFonts w:ascii="Times New Roman" w:hAnsi="Times New Roman" w:cs="Times New Roman"/>
          <w:color w:val="222222"/>
          <w:sz w:val="24"/>
          <w:szCs w:val="24"/>
          <w:shd w:val="clear" w:color="auto" w:fill="FFFFFF"/>
        </w:rPr>
        <w:t>, </w:t>
      </w:r>
      <w:r w:rsidRPr="006F5EA0">
        <w:rPr>
          <w:rFonts w:ascii="Times New Roman" w:hAnsi="Times New Roman" w:cs="Times New Roman"/>
          <w:i/>
          <w:iCs/>
          <w:color w:val="222222"/>
          <w:sz w:val="24"/>
          <w:szCs w:val="24"/>
          <w:shd w:val="clear" w:color="auto" w:fill="FFFFFF"/>
        </w:rPr>
        <w:t>3</w:t>
      </w:r>
      <w:r w:rsidRPr="006F5EA0">
        <w:rPr>
          <w:rFonts w:ascii="Times New Roman" w:hAnsi="Times New Roman" w:cs="Times New Roman"/>
          <w:color w:val="222222"/>
          <w:sz w:val="24"/>
          <w:szCs w:val="24"/>
          <w:shd w:val="clear" w:color="auto" w:fill="FFFFFF"/>
        </w:rPr>
        <w:t>(3), 2055217317726798.</w:t>
      </w:r>
    </w:p>
    <w:p w:rsidR="006F5EA0" w:rsidRPr="006F5EA0" w:rsidRDefault="006F5EA0" w:rsidP="006F5EA0">
      <w:pPr>
        <w:spacing w:after="0" w:line="480" w:lineRule="auto"/>
        <w:ind w:left="720" w:hanging="720"/>
        <w:rPr>
          <w:rFonts w:ascii="Times New Roman" w:hAnsi="Times New Roman" w:cs="Times New Roman"/>
          <w:color w:val="222222"/>
          <w:sz w:val="24"/>
          <w:szCs w:val="24"/>
          <w:shd w:val="clear" w:color="auto" w:fill="FFFFFF"/>
        </w:rPr>
      </w:pPr>
      <w:r w:rsidRPr="006F5EA0">
        <w:rPr>
          <w:rFonts w:ascii="Times New Roman" w:hAnsi="Times New Roman" w:cs="Times New Roman"/>
          <w:color w:val="222222"/>
          <w:sz w:val="24"/>
          <w:szCs w:val="24"/>
          <w:shd w:val="clear" w:color="auto" w:fill="FFFFFF"/>
        </w:rPr>
        <w:t>Jackson, D. A. (1990). Roy in the postanesthesia care unit. </w:t>
      </w:r>
      <w:r w:rsidRPr="006F5EA0">
        <w:rPr>
          <w:rFonts w:ascii="Times New Roman" w:hAnsi="Times New Roman" w:cs="Times New Roman"/>
          <w:i/>
          <w:iCs/>
          <w:color w:val="222222"/>
          <w:sz w:val="24"/>
          <w:szCs w:val="24"/>
          <w:shd w:val="clear" w:color="auto" w:fill="FFFFFF"/>
        </w:rPr>
        <w:t>Journal of post anesthesia nursing</w:t>
      </w:r>
      <w:r w:rsidRPr="006F5EA0">
        <w:rPr>
          <w:rFonts w:ascii="Times New Roman" w:hAnsi="Times New Roman" w:cs="Times New Roman"/>
          <w:color w:val="222222"/>
          <w:sz w:val="24"/>
          <w:szCs w:val="24"/>
          <w:shd w:val="clear" w:color="auto" w:fill="FFFFFF"/>
        </w:rPr>
        <w:t>, </w:t>
      </w:r>
      <w:r w:rsidRPr="006F5EA0">
        <w:rPr>
          <w:rFonts w:ascii="Times New Roman" w:hAnsi="Times New Roman" w:cs="Times New Roman"/>
          <w:i/>
          <w:iCs/>
          <w:color w:val="222222"/>
          <w:sz w:val="24"/>
          <w:szCs w:val="24"/>
          <w:shd w:val="clear" w:color="auto" w:fill="FFFFFF"/>
        </w:rPr>
        <w:t>5</w:t>
      </w:r>
      <w:r w:rsidRPr="006F5EA0">
        <w:rPr>
          <w:rFonts w:ascii="Times New Roman" w:hAnsi="Times New Roman" w:cs="Times New Roman"/>
          <w:color w:val="222222"/>
          <w:sz w:val="24"/>
          <w:szCs w:val="24"/>
          <w:shd w:val="clear" w:color="auto" w:fill="FFFFFF"/>
        </w:rPr>
        <w:t>(3), 143-148.</w:t>
      </w:r>
    </w:p>
    <w:p w:rsidR="006F5EA0" w:rsidRPr="006F5EA0" w:rsidRDefault="006F5EA0" w:rsidP="006F5EA0">
      <w:pPr>
        <w:spacing w:after="0" w:line="480" w:lineRule="auto"/>
        <w:ind w:left="720" w:hanging="720"/>
        <w:rPr>
          <w:rFonts w:ascii="Times New Roman" w:hAnsi="Times New Roman" w:cs="Times New Roman"/>
          <w:color w:val="222222"/>
          <w:sz w:val="24"/>
          <w:szCs w:val="24"/>
          <w:shd w:val="clear" w:color="auto" w:fill="FFFFFF"/>
        </w:rPr>
      </w:pPr>
      <w:r w:rsidRPr="006F5EA0">
        <w:rPr>
          <w:rFonts w:ascii="Times New Roman" w:hAnsi="Times New Roman" w:cs="Times New Roman"/>
          <w:color w:val="222222"/>
          <w:sz w:val="24"/>
          <w:szCs w:val="24"/>
          <w:shd w:val="clear" w:color="auto" w:fill="FFFFFF"/>
        </w:rPr>
        <w:t>Mack, C. H. (1992). Assessment of the autologous bone marrow transplant patient according to Orem's self care model. </w:t>
      </w:r>
      <w:r w:rsidRPr="006F5EA0">
        <w:rPr>
          <w:rFonts w:ascii="Times New Roman" w:hAnsi="Times New Roman" w:cs="Times New Roman"/>
          <w:i/>
          <w:iCs/>
          <w:color w:val="222222"/>
          <w:sz w:val="24"/>
          <w:szCs w:val="24"/>
          <w:shd w:val="clear" w:color="auto" w:fill="FFFFFF"/>
        </w:rPr>
        <w:t>Cancer nursing</w:t>
      </w:r>
      <w:r w:rsidRPr="006F5EA0">
        <w:rPr>
          <w:rFonts w:ascii="Times New Roman" w:hAnsi="Times New Roman" w:cs="Times New Roman"/>
          <w:color w:val="222222"/>
          <w:sz w:val="24"/>
          <w:szCs w:val="24"/>
          <w:shd w:val="clear" w:color="auto" w:fill="FFFFFF"/>
        </w:rPr>
        <w:t>, </w:t>
      </w:r>
      <w:r w:rsidRPr="006F5EA0">
        <w:rPr>
          <w:rFonts w:ascii="Times New Roman" w:hAnsi="Times New Roman" w:cs="Times New Roman"/>
          <w:i/>
          <w:iCs/>
          <w:color w:val="222222"/>
          <w:sz w:val="24"/>
          <w:szCs w:val="24"/>
          <w:shd w:val="clear" w:color="auto" w:fill="FFFFFF"/>
        </w:rPr>
        <w:t>15</w:t>
      </w:r>
      <w:r w:rsidRPr="006F5EA0">
        <w:rPr>
          <w:rFonts w:ascii="Times New Roman" w:hAnsi="Times New Roman" w:cs="Times New Roman"/>
          <w:color w:val="222222"/>
          <w:sz w:val="24"/>
          <w:szCs w:val="24"/>
          <w:shd w:val="clear" w:color="auto" w:fill="FFFFFF"/>
        </w:rPr>
        <w:t>(6), 429-436.</w:t>
      </w:r>
    </w:p>
    <w:p w:rsidR="006F5EA0" w:rsidRPr="006F5EA0" w:rsidRDefault="006F5EA0" w:rsidP="006F5EA0">
      <w:pPr>
        <w:spacing w:after="0" w:line="480" w:lineRule="auto"/>
        <w:ind w:left="720" w:hanging="720"/>
        <w:rPr>
          <w:rFonts w:ascii="Times New Roman" w:hAnsi="Times New Roman" w:cs="Times New Roman"/>
          <w:color w:val="222222"/>
          <w:sz w:val="24"/>
          <w:szCs w:val="24"/>
          <w:shd w:val="clear" w:color="auto" w:fill="FFFFFF"/>
        </w:rPr>
      </w:pPr>
      <w:r w:rsidRPr="006F5EA0">
        <w:rPr>
          <w:rFonts w:ascii="Times New Roman" w:hAnsi="Times New Roman" w:cs="Times New Roman"/>
          <w:color w:val="222222"/>
          <w:sz w:val="24"/>
          <w:szCs w:val="24"/>
          <w:shd w:val="clear" w:color="auto" w:fill="FFFFFF"/>
        </w:rPr>
        <w:t>McEwen, M., &amp; Wills, E. M. (2017). </w:t>
      </w:r>
      <w:r w:rsidRPr="006F5EA0">
        <w:rPr>
          <w:rFonts w:ascii="Times New Roman" w:hAnsi="Times New Roman" w:cs="Times New Roman"/>
          <w:i/>
          <w:iCs/>
          <w:color w:val="222222"/>
          <w:sz w:val="24"/>
          <w:szCs w:val="24"/>
          <w:shd w:val="clear" w:color="auto" w:fill="FFFFFF"/>
        </w:rPr>
        <w:t>Theoretical basis for nursing</w:t>
      </w:r>
      <w:r w:rsidRPr="006F5EA0">
        <w:rPr>
          <w:rFonts w:ascii="Times New Roman" w:hAnsi="Times New Roman" w:cs="Times New Roman"/>
          <w:color w:val="222222"/>
          <w:sz w:val="24"/>
          <w:szCs w:val="24"/>
          <w:shd w:val="clear" w:color="auto" w:fill="FFFFFF"/>
        </w:rPr>
        <w:t>. Lippincott Williams &amp; Wilkins.</w:t>
      </w:r>
    </w:p>
    <w:p w:rsidR="006F5EA0" w:rsidRPr="006F5EA0" w:rsidRDefault="006F5EA0" w:rsidP="006F5EA0">
      <w:pPr>
        <w:spacing w:after="0" w:line="480" w:lineRule="auto"/>
        <w:ind w:left="720" w:hanging="720"/>
        <w:rPr>
          <w:rFonts w:ascii="Times New Roman" w:hAnsi="Times New Roman" w:cs="Times New Roman"/>
          <w:sz w:val="24"/>
          <w:szCs w:val="24"/>
        </w:rPr>
      </w:pPr>
      <w:r w:rsidRPr="006F5EA0">
        <w:rPr>
          <w:rFonts w:ascii="Times New Roman" w:hAnsi="Times New Roman" w:cs="Times New Roman"/>
          <w:color w:val="222222"/>
          <w:sz w:val="24"/>
          <w:szCs w:val="24"/>
          <w:shd w:val="clear" w:color="auto" w:fill="FFFFFF"/>
        </w:rPr>
        <w:t>Wilson, L., &amp;Kolcaba, K. (2004). Practical application of comfort theory in the perianesthesia setting. </w:t>
      </w:r>
      <w:r w:rsidRPr="006F5EA0">
        <w:rPr>
          <w:rFonts w:ascii="Times New Roman" w:hAnsi="Times New Roman" w:cs="Times New Roman"/>
          <w:i/>
          <w:iCs/>
          <w:color w:val="222222"/>
          <w:sz w:val="24"/>
          <w:szCs w:val="24"/>
          <w:shd w:val="clear" w:color="auto" w:fill="FFFFFF"/>
        </w:rPr>
        <w:t>Journal of PeriAnesthesia Nursing</w:t>
      </w:r>
      <w:r w:rsidRPr="006F5EA0">
        <w:rPr>
          <w:rFonts w:ascii="Times New Roman" w:hAnsi="Times New Roman" w:cs="Times New Roman"/>
          <w:color w:val="222222"/>
          <w:sz w:val="24"/>
          <w:szCs w:val="24"/>
          <w:shd w:val="clear" w:color="auto" w:fill="FFFFFF"/>
        </w:rPr>
        <w:t>, </w:t>
      </w:r>
      <w:r w:rsidRPr="006F5EA0">
        <w:rPr>
          <w:rFonts w:ascii="Times New Roman" w:hAnsi="Times New Roman" w:cs="Times New Roman"/>
          <w:i/>
          <w:iCs/>
          <w:color w:val="222222"/>
          <w:sz w:val="24"/>
          <w:szCs w:val="24"/>
          <w:shd w:val="clear" w:color="auto" w:fill="FFFFFF"/>
        </w:rPr>
        <w:t>19</w:t>
      </w:r>
      <w:r w:rsidRPr="006F5EA0">
        <w:rPr>
          <w:rFonts w:ascii="Times New Roman" w:hAnsi="Times New Roman" w:cs="Times New Roman"/>
          <w:color w:val="222222"/>
          <w:sz w:val="24"/>
          <w:szCs w:val="24"/>
          <w:shd w:val="clear" w:color="auto" w:fill="FFFFFF"/>
        </w:rPr>
        <w:t>(3), 164-173.</w:t>
      </w:r>
    </w:p>
    <w:p w:rsidR="006F5EA0" w:rsidRPr="006F5EA0" w:rsidRDefault="006F5EA0" w:rsidP="006F5EA0">
      <w:pPr>
        <w:spacing w:after="0" w:line="480" w:lineRule="auto"/>
        <w:ind w:left="720" w:hanging="720"/>
        <w:rPr>
          <w:rFonts w:ascii="Times New Roman" w:hAnsi="Times New Roman" w:cs="Times New Roman"/>
          <w:sz w:val="24"/>
          <w:szCs w:val="24"/>
        </w:rPr>
      </w:pPr>
    </w:p>
    <w:sectPr w:rsidR="006F5EA0" w:rsidRPr="006F5EA0" w:rsidSect="002F259E">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57E" w:rsidRDefault="00F4557E" w:rsidP="006F5EA0">
      <w:pPr>
        <w:spacing w:after="0" w:line="240" w:lineRule="auto"/>
      </w:pPr>
      <w:r>
        <w:separator/>
      </w:r>
    </w:p>
  </w:endnote>
  <w:endnote w:type="continuationSeparator" w:id="1">
    <w:p w:rsidR="00F4557E" w:rsidRDefault="00F4557E" w:rsidP="006F5E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57E" w:rsidRDefault="00F4557E" w:rsidP="006F5EA0">
      <w:pPr>
        <w:spacing w:after="0" w:line="240" w:lineRule="auto"/>
      </w:pPr>
      <w:r>
        <w:separator/>
      </w:r>
    </w:p>
  </w:footnote>
  <w:footnote w:type="continuationSeparator" w:id="1">
    <w:p w:rsidR="00F4557E" w:rsidRDefault="00F4557E" w:rsidP="006F5E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EA0" w:rsidRPr="006F5EA0" w:rsidRDefault="002F259E" w:rsidP="006F5EA0">
    <w:pPr>
      <w:pStyle w:val="Header"/>
      <w:jc w:val="right"/>
      <w:rPr>
        <w:rFonts w:ascii="Times New Roman" w:hAnsi="Times New Roman" w:cs="Times New Roman"/>
        <w:sz w:val="24"/>
        <w:szCs w:val="24"/>
      </w:rPr>
    </w:pPr>
    <w:r w:rsidRPr="006F5EA0">
      <w:rPr>
        <w:rFonts w:ascii="Times New Roman" w:hAnsi="Times New Roman" w:cs="Times New Roman"/>
        <w:sz w:val="24"/>
        <w:szCs w:val="24"/>
      </w:rPr>
      <w:fldChar w:fldCharType="begin"/>
    </w:r>
    <w:r w:rsidR="006F5EA0" w:rsidRPr="006F5EA0">
      <w:rPr>
        <w:rFonts w:ascii="Times New Roman" w:hAnsi="Times New Roman" w:cs="Times New Roman"/>
        <w:sz w:val="24"/>
        <w:szCs w:val="24"/>
      </w:rPr>
      <w:instrText xml:space="preserve"> PAGE   \* MERGEFORMAT </w:instrText>
    </w:r>
    <w:r w:rsidRPr="006F5EA0">
      <w:rPr>
        <w:rFonts w:ascii="Times New Roman" w:hAnsi="Times New Roman" w:cs="Times New Roman"/>
        <w:sz w:val="24"/>
        <w:szCs w:val="24"/>
      </w:rPr>
      <w:fldChar w:fldCharType="separate"/>
    </w:r>
    <w:r w:rsidR="00C009F7">
      <w:rPr>
        <w:rFonts w:ascii="Times New Roman" w:hAnsi="Times New Roman" w:cs="Times New Roman"/>
        <w:noProof/>
        <w:sz w:val="24"/>
        <w:szCs w:val="24"/>
      </w:rPr>
      <w:t>5</w:t>
    </w:r>
    <w:r w:rsidRPr="006F5EA0">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36E31"/>
    <w:rsid w:val="001544CE"/>
    <w:rsid w:val="00155184"/>
    <w:rsid w:val="002925C9"/>
    <w:rsid w:val="002A7BA9"/>
    <w:rsid w:val="002F259E"/>
    <w:rsid w:val="0032657F"/>
    <w:rsid w:val="004237A9"/>
    <w:rsid w:val="0045214D"/>
    <w:rsid w:val="004F6B2F"/>
    <w:rsid w:val="00612B26"/>
    <w:rsid w:val="00640813"/>
    <w:rsid w:val="006C7495"/>
    <w:rsid w:val="006F5EA0"/>
    <w:rsid w:val="009D7959"/>
    <w:rsid w:val="00A3512A"/>
    <w:rsid w:val="00B06BB4"/>
    <w:rsid w:val="00C009F7"/>
    <w:rsid w:val="00C36E31"/>
    <w:rsid w:val="00F455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5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5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EA0"/>
  </w:style>
  <w:style w:type="paragraph" w:styleId="Footer">
    <w:name w:val="footer"/>
    <w:basedOn w:val="Normal"/>
    <w:link w:val="FooterChar"/>
    <w:uiPriority w:val="99"/>
    <w:unhideWhenUsed/>
    <w:rsid w:val="006F5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EA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2332</Words>
  <Characters>13296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2021-08-04T19:32:00Z</dcterms:created>
  <dcterms:modified xsi:type="dcterms:W3CDTF">2021-08-04T19:32:00Z</dcterms:modified>
</cp:coreProperties>
</file>